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金保工程信息系统日常运营维护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忻州市社会保障卡服务中心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忻州市人力资源和社会保障局-401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金保工程是利用先进的信息技术，以中央、省、市三级网络为依托，涵盖县、乡等基层机构，支持业务经办、公共服务、基金监管、宏观决策等核心应用，覆盖全国统一的电子政务工程。2010年10月，我市金保工程网络系统建成并投入运营，保障信息网络系统正常运行是我中心的重要任务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忻州市人民政府常务会议纪要[2007]11次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金保工程是利用先进的信息技术，以中央、省、市三级网络为依托，涵盖县、乡等基层机构，支持业务经办、公共服务、基金监管、宏观决策等核心应用，覆盖全国统一的电子政务工程。2010年10月，我市金保工程网络系统建成并投入运营，保障信息网络系统正常运行是我中心的重要任务；2021年我中心继续承担金保信息系统日常运维，其中包括网络线路、系统硬件、软件等日常运维工作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我中心制定了预算管理、收支管理、政府采购管理制度、合同管理制度、决策机制制度，严格按制度办事，保证项目实施。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1.加强网络安全建设，进一步推进信息化建设2.积极推进社保卡建设，提升社保卡服务能力3.加强业务系统建设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92.13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 w:firstLine="281" w:firstLineChars="100"/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、加强网络安全建设，做好实施期金保工程信息网络系统日常运营工作，实施期费用共计493.2万元，具体为线路租赁、电费、机房软硬件维护等。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、推进社保卡建设，提升社保卡服务能力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val="en-US" w:eastAsia="zh-CN"/>
        </w:rPr>
        <w:t>2、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继续做好金保工程信息系统日常运营维护，费用为164.4万元，具体为线路租赁、电费、机房软硬件维护，进一步完善各县“金融+社保”一站式服务，完善即时制卡体系建设。督促发卡银行建立预制卡和耗材预警机制，确保即时制卡网点无间断运行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、继续做好实体社保卡制卡、电子社保卡签发以及我市社保卡滞留卡的清理发放工作。配合劳动力建档立卡工作，通过线上线下等多种渠道宣传的方式，大力推进“民生山西”APP的下载使用。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、按照省人社厅要求，做好工伤保险省集中系统的正式上线工作。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、全面开展社保卡应用工作，提供线上线下综合服务，逐步推进社保卡居民服务“一卡通”建设，为社保卡注入政务、民生和金融服务新动能。让社保卡更好的为民众服务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金保工程信息系统日常运营维护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91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维护信息系统的数量（个）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信息系统全年无安全事故率（%）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系统故障响应及时性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信息系统电费（万元）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8.57万元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信息化维护运维成本（万元）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87.30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58.27万元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线路租赁费（万元）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55.32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25.29万元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社保卡宣传成本（万元）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信息系统网络畅通率（%）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社会保障卡持卡率（%）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公众满意度（%）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rPr>
          <w:rFonts w:hint="default"/>
          <w:b/>
          <w:lang w:val="en-US"/>
        </w:rPr>
      </w:pPr>
      <w:r>
        <w:rPr>
          <w:rFonts w:hint="eastAsia"/>
          <w:lang w:val="en-US" w:eastAsia="zh-CN"/>
        </w:rPr>
        <w:t>中心</w:t>
      </w:r>
      <w:r>
        <w:rPr>
          <w:rFonts w:hint="eastAsia"/>
          <w:lang w:eastAsia="zh-CN"/>
        </w:rPr>
        <w:t>按时完成了本年度的项目计划。</w:t>
      </w:r>
      <w:r>
        <w:rPr>
          <w:rFonts w:hint="eastAsia"/>
          <w:lang w:val="en-US" w:eastAsia="zh-CN"/>
        </w:rPr>
        <w:t>另</w:t>
      </w:r>
      <w:r>
        <w:rPr>
          <w:rFonts w:hint="eastAsia"/>
          <w:b/>
          <w:lang w:val="en-US" w:eastAsia="zh-CN"/>
        </w:rPr>
        <w:t>2021年度项目预算金额修改调整后，未进行预算绩效指标的相应修改调整，从而造成年度绩效目标值与全年预算执行情况有偏差，以后要加强预算编制工作。严格做到预算指标与执行相符。</w:t>
      </w:r>
    </w:p>
    <w:p>
      <w:pPr>
        <w:pStyle w:val="44"/>
        <w:ind w:left="0" w:leftChars="0" w:firstLine="1120" w:firstLineChars="40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0"/>
        </w:numPr>
        <w:ind w:firstLine="562" w:firstLineChars="20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2、产出情况及分析</w:t>
      </w:r>
    </w:p>
    <w:p>
      <w:pPr>
        <w:pStyle w:val="44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按计划完成了项目的运维任务，信息系统全年无安全事故 ，信息系统故障响应及时，信息网络畅通率100%，服务对象满意度高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信息系统全年无安全事故 ，信息系统故障响应及时，信息网络畅通率100%，服务对象满意度高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由于信息系统全年无安全事故 ，信息系统故障响应及时，信息网络畅通率100%，所以服务对象满意度高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严格根据项目的计划，开展项目的实施，坚决保证项目完成的质量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6"/>
        <w:ind w:firstLine="560" w:firstLineChars="200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bookmarkStart w:id="14" w:name="_Toc61505649"/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因2021年度项目预算金额修改调整后，未进行预算绩效指标的相应修改调整，从而造成年度绩效目标值与全年预算执行情况有偏差.</w:t>
      </w:r>
    </w:p>
    <w:p>
      <w:pPr>
        <w:pStyle w:val="6"/>
        <w:ind w:firstLine="0" w:firstLineChars="0"/>
        <w:outlineLvl w:val="1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另外成本指标中，兼于工作实际情况，社保卡宣传方式改变，从而缩减了宣传成本；</w:t>
      </w:r>
    </w:p>
    <w:p>
      <w:pPr>
        <w:pStyle w:val="52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六、进一步加强项目管理措施及建议</w:t>
      </w:r>
      <w:bookmarkEnd w:id="14"/>
    </w:p>
    <w:p>
      <w:pPr>
        <w:pStyle w:val="6"/>
        <w:numPr>
          <w:ilvl w:val="0"/>
          <w:numId w:val="0"/>
        </w:numPr>
        <w:ind w:firstLine="560" w:firstLineChars="200"/>
        <w:outlineLvl w:val="1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单位要加强预算绩效工作，各业务部门要根据单位项目的实际开展情况，确定预算绩效目标，单位要以绩效目标为前提，积极改善管理方式，争取在下一年度使绩效工作稳步提高。</w:t>
      </w:r>
    </w:p>
    <w:p>
      <w:pPr>
        <w:pStyle w:val="44"/>
        <w:ind w:firstLine="560"/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 w:eastAsia="zh-CN" w:bidi="ar-SA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附件2</w:t>
      </w:r>
      <w:bookmarkStart w:id="17" w:name="_GoBack"/>
      <w:bookmarkEnd w:id="17"/>
      <w:r>
        <w:rPr>
          <w:rFonts w:hint="eastAsia" w:ascii="仿宋" w:hAnsi="仿宋" w:eastAsia="仿宋" w:cs="仿宋"/>
          <w:b/>
          <w:bCs w:val="0"/>
          <w:lang w:val="en-US" w:eastAsia="zh-CN"/>
        </w:rPr>
        <w:t>：项目支出绩效自评表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维护信息系统的数量（个）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1个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信息系统全年无安全事故率（%）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系统故障响应及时性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线路租赁费（万元）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55.32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25.29万元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45.72%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项目预算调整后，绩效目标未相应调整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社保卡宣传成本（万元）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鉴于工作实际，宣传方式改变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信息化维护运维成本（万元）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87.30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58.27万元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66.75%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项目预算调整后，绩效目标未相应调整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信息系统电费（万元）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8.57万元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71.42%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项目预算调整后，绩效目标未相应调整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信息系统网络畅通率（%）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社会保障卡持卡率（%）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公众满意度（%）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hint="default" w:ascii="仿宋" w:hAnsi="仿宋" w:eastAsia="仿宋" w:cs="仿宋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  <w:lang w:val="en-US" w:eastAsia="zh-CN"/>
              </w:rPr>
              <w:t>项目支出决算明细表</w:t>
            </w: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DY2ZmUzM2JhY2NjMTA2MWNlYTJiMmJmYjcxY2IifQ=="/>
  </w:docVars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157E7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26209D3"/>
    <w:rsid w:val="09920B03"/>
    <w:rsid w:val="0AF32903"/>
    <w:rsid w:val="0B1053BE"/>
    <w:rsid w:val="10FA1529"/>
    <w:rsid w:val="11FA4411"/>
    <w:rsid w:val="17D646C5"/>
    <w:rsid w:val="1A923941"/>
    <w:rsid w:val="20B32EF8"/>
    <w:rsid w:val="21192487"/>
    <w:rsid w:val="26FF5812"/>
    <w:rsid w:val="2D1E0D63"/>
    <w:rsid w:val="36287618"/>
    <w:rsid w:val="3B710C05"/>
    <w:rsid w:val="3FA22AE0"/>
    <w:rsid w:val="403253CC"/>
    <w:rsid w:val="430E6585"/>
    <w:rsid w:val="463E1DBD"/>
    <w:rsid w:val="4685178A"/>
    <w:rsid w:val="4D7309EF"/>
    <w:rsid w:val="55C10D1E"/>
    <w:rsid w:val="621E6AE5"/>
    <w:rsid w:val="624520A2"/>
    <w:rsid w:val="64F07B59"/>
    <w:rsid w:val="69B176B1"/>
    <w:rsid w:val="69C51856"/>
    <w:rsid w:val="721C117F"/>
    <w:rsid w:val="72353EE7"/>
    <w:rsid w:val="753D5E42"/>
    <w:rsid w:val="7FD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qFormat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qFormat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qFormat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qFormat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qFormat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qFormat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qFormat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2625</Words>
  <Characters>2936</Characters>
  <Lines>21</Lines>
  <Paragraphs>5</Paragraphs>
  <TotalTime>9</TotalTime>
  <ScaleCrop>false</ScaleCrop>
  <LinksUpToDate>false</LinksUpToDate>
  <CharactersWithSpaces>2964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lenovo</cp:lastModifiedBy>
  <dcterms:modified xsi:type="dcterms:W3CDTF">2022-09-28T09:37:22Z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AE696B30FAA54004B0ED48A5B6455800</vt:lpwstr>
  </property>
</Properties>
</file>